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17" w:rsidRPr="00CF70E9" w:rsidRDefault="00C52417" w:rsidP="00EA0BC0">
      <w:pPr>
        <w:ind w:left="360"/>
        <w:rPr>
          <w:rFonts w:ascii="Verdana" w:hAnsi="Verdana"/>
          <w:b/>
          <w:sz w:val="20"/>
          <w:szCs w:val="20"/>
        </w:rPr>
      </w:pPr>
      <w:r w:rsidRPr="00CF70E9">
        <w:rPr>
          <w:rFonts w:ascii="Verdana" w:hAnsi="Verdana"/>
          <w:b/>
          <w:sz w:val="20"/>
          <w:szCs w:val="20"/>
        </w:rPr>
        <w:t>Role and Responsibilities</w:t>
      </w: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C52417" w:rsidRPr="00EA0BC0" w:rsidTr="00724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C52417" w:rsidRPr="00EA0BC0" w:rsidRDefault="00C52417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Identity</w:t>
            </w:r>
          </w:p>
        </w:tc>
        <w:tc>
          <w:tcPr>
            <w:tcW w:w="3260" w:type="dxa"/>
          </w:tcPr>
          <w:p w:rsidR="00C52417" w:rsidRPr="00EA0BC0" w:rsidRDefault="00C52417" w:rsidP="00EA0BC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2417" w:rsidRPr="00EA0BC0" w:rsidRDefault="00C52417" w:rsidP="00EA0BC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C52417" w:rsidRPr="00EA0BC0" w:rsidTr="0072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C52417" w:rsidRPr="00EA0BC0" w:rsidRDefault="00C52417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Position Title:</w:t>
            </w:r>
          </w:p>
        </w:tc>
        <w:tc>
          <w:tcPr>
            <w:tcW w:w="3260" w:type="dxa"/>
          </w:tcPr>
          <w:p w:rsidR="00C52417" w:rsidRPr="00EA0BC0" w:rsidRDefault="00C5241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A0BC0">
              <w:rPr>
                <w:rFonts w:ascii="Verdana" w:hAnsi="Verdana"/>
                <w:sz w:val="20"/>
                <w:szCs w:val="20"/>
              </w:rPr>
              <w:t>Person:</w:t>
            </w:r>
          </w:p>
        </w:tc>
        <w:tc>
          <w:tcPr>
            <w:tcW w:w="3119" w:type="dxa"/>
          </w:tcPr>
          <w:p w:rsidR="00C52417" w:rsidRPr="00EA0BC0" w:rsidRDefault="00C5241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A0BC0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C52417" w:rsidRPr="00EA0BC0" w:rsidTr="00724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EAF1DD" w:themeFill="accent3" w:themeFillTint="33"/>
          </w:tcPr>
          <w:p w:rsidR="00C52417" w:rsidRPr="00EA0BC0" w:rsidRDefault="00FE5942" w:rsidP="00117B9E">
            <w:pPr>
              <w:ind w:left="360"/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  <w:t>In House Recruiter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C52417" w:rsidRPr="00EA0BC0" w:rsidRDefault="00C52417" w:rsidP="00EA0BC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AF1DD" w:themeFill="accent3" w:themeFillTint="33"/>
          </w:tcPr>
          <w:p w:rsidR="00C52417" w:rsidRPr="00EA0BC0" w:rsidRDefault="00F42CB6" w:rsidP="00EA0BC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E36C0A" w:themeColor="accent6" w:themeShade="BF"/>
                <w:sz w:val="20"/>
                <w:szCs w:val="20"/>
              </w:rPr>
            </w:pPr>
            <w:r>
              <w:rPr>
                <w:rFonts w:ascii="Verdana" w:hAnsi="Verdana"/>
                <w:color w:val="E36C0A" w:themeColor="accent6" w:themeShade="BF"/>
                <w:sz w:val="20"/>
                <w:szCs w:val="20"/>
              </w:rPr>
              <w:t>August</w:t>
            </w:r>
            <w:r w:rsidR="00CF70E9">
              <w:rPr>
                <w:rFonts w:ascii="Verdana" w:hAnsi="Verdana"/>
                <w:color w:val="E36C0A" w:themeColor="accent6" w:themeShade="BF"/>
                <w:sz w:val="20"/>
                <w:szCs w:val="20"/>
              </w:rPr>
              <w:t xml:space="preserve"> 2014</w:t>
            </w:r>
          </w:p>
        </w:tc>
      </w:tr>
      <w:tr w:rsidR="00C52417" w:rsidRPr="00EA0BC0" w:rsidTr="0072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C52417" w:rsidRPr="00EA0BC0" w:rsidRDefault="00C52417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Line Manager - Title</w:t>
            </w:r>
          </w:p>
        </w:tc>
        <w:tc>
          <w:tcPr>
            <w:tcW w:w="3260" w:type="dxa"/>
          </w:tcPr>
          <w:p w:rsidR="00C52417" w:rsidRPr="00EA0BC0" w:rsidRDefault="00C5241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2417" w:rsidRPr="00EA0BC0" w:rsidRDefault="00C5241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52417" w:rsidRPr="00EA0BC0" w:rsidTr="00724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shd w:val="clear" w:color="auto" w:fill="EAF1DD" w:themeFill="accent3" w:themeFillTint="33"/>
          </w:tcPr>
          <w:p w:rsidR="00C52417" w:rsidRPr="00EA0BC0" w:rsidRDefault="001C1379" w:rsidP="00117B9E">
            <w:pPr>
              <w:ind w:left="360"/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  <w:t>Resourcing Manager</w:t>
            </w:r>
          </w:p>
        </w:tc>
        <w:tc>
          <w:tcPr>
            <w:tcW w:w="326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shd w:val="clear" w:color="auto" w:fill="EAF1DD" w:themeFill="accent3" w:themeFillTint="33"/>
          </w:tcPr>
          <w:p w:rsidR="00C52417" w:rsidRPr="00EA0BC0" w:rsidRDefault="00C52417" w:rsidP="00117B9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2417" w:rsidRPr="00EA0BC0" w:rsidRDefault="00FE5942" w:rsidP="00EA0BC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E36C0A" w:themeColor="accent6" w:themeShade="BF"/>
                <w:sz w:val="20"/>
                <w:szCs w:val="20"/>
              </w:rPr>
            </w:pPr>
            <w:r>
              <w:rPr>
                <w:rFonts w:ascii="Verdana" w:hAnsi="Verdana"/>
                <w:color w:val="E36C0A" w:themeColor="accent6" w:themeShade="BF"/>
                <w:sz w:val="20"/>
                <w:szCs w:val="20"/>
              </w:rPr>
              <w:t>Grade 11</w:t>
            </w:r>
          </w:p>
        </w:tc>
      </w:tr>
    </w:tbl>
    <w:p w:rsidR="00C52417" w:rsidRPr="00EA0BC0" w:rsidRDefault="00C52417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606"/>
      </w:tblGrid>
      <w:tr w:rsidR="00C52417" w:rsidRPr="00EA0BC0" w:rsidTr="00724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C52417" w:rsidRPr="00EA0BC0" w:rsidRDefault="00C52417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Purpose (the Why of the position, within which limits and according to what objectives)</w:t>
            </w:r>
          </w:p>
        </w:tc>
      </w:tr>
      <w:tr w:rsidR="00C52417" w:rsidRPr="00EA0BC0" w:rsidTr="00EF6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EAF1DD" w:themeFill="accent3" w:themeFillTint="33"/>
          </w:tcPr>
          <w:p w:rsidR="003411DA" w:rsidRPr="00EA0BC0" w:rsidRDefault="003411DA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  <w:t>Why: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AC4CB0">
              <w:rPr>
                <w:rFonts w:ascii="Verdana" w:hAnsi="Verdana"/>
                <w:b w:val="0"/>
                <w:sz w:val="20"/>
                <w:szCs w:val="20"/>
              </w:rPr>
              <w:t>To facilitate</w:t>
            </w:r>
            <w:r w:rsidR="00486AC9" w:rsidRPr="00EA0BC0">
              <w:rPr>
                <w:rFonts w:ascii="Verdana" w:hAnsi="Verdana"/>
                <w:b w:val="0"/>
                <w:sz w:val="20"/>
                <w:szCs w:val="20"/>
              </w:rPr>
              <w:t xml:space="preserve"> the R</w:t>
            </w:r>
            <w:r w:rsidR="00374E27" w:rsidRPr="00EA0BC0">
              <w:rPr>
                <w:rFonts w:ascii="Verdana" w:hAnsi="Verdana"/>
                <w:b w:val="0"/>
                <w:sz w:val="20"/>
                <w:szCs w:val="20"/>
              </w:rPr>
              <w:t xml:space="preserve">ecruitment Processes for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="00374E27" w:rsidRPr="00EA0BC0">
              <w:rPr>
                <w:rFonts w:ascii="Verdana" w:hAnsi="Verdana"/>
                <w:b w:val="0"/>
                <w:sz w:val="20"/>
                <w:szCs w:val="20"/>
              </w:rPr>
              <w:t xml:space="preserve"> via the Harbour/MKH system and social media</w:t>
            </w:r>
            <w:r w:rsidR="00486AC9" w:rsidRPr="00EA0BC0">
              <w:rPr>
                <w:rFonts w:ascii="Verdana" w:hAnsi="Verdana"/>
                <w:b w:val="0"/>
                <w:sz w:val="20"/>
                <w:szCs w:val="20"/>
              </w:rPr>
              <w:t xml:space="preserve"> and source </w:t>
            </w:r>
            <w:r w:rsidR="00605F62" w:rsidRPr="00EA0BC0">
              <w:rPr>
                <w:rFonts w:ascii="Verdana" w:hAnsi="Verdana"/>
                <w:b w:val="0"/>
                <w:sz w:val="20"/>
                <w:szCs w:val="20"/>
              </w:rPr>
              <w:t>suitably qualified candidates</w:t>
            </w:r>
            <w:r w:rsidR="00486AC9" w:rsidRPr="00EA0BC0">
              <w:rPr>
                <w:rFonts w:ascii="Verdana" w:hAnsi="Verdana"/>
                <w:b w:val="0"/>
                <w:sz w:val="20"/>
                <w:szCs w:val="20"/>
              </w:rPr>
              <w:t xml:space="preserve"> via CV </w:t>
            </w:r>
            <w:r w:rsidR="00605F62" w:rsidRPr="00EA0BC0">
              <w:rPr>
                <w:rFonts w:ascii="Verdana" w:hAnsi="Verdana"/>
                <w:b w:val="0"/>
                <w:sz w:val="20"/>
                <w:szCs w:val="20"/>
              </w:rPr>
              <w:t xml:space="preserve">database </w:t>
            </w:r>
            <w:r w:rsidR="00486AC9" w:rsidRPr="00EA0BC0">
              <w:rPr>
                <w:rFonts w:ascii="Verdana" w:hAnsi="Verdana"/>
                <w:b w:val="0"/>
                <w:sz w:val="20"/>
                <w:szCs w:val="20"/>
              </w:rPr>
              <w:t>searches</w:t>
            </w:r>
            <w:r w:rsidR="00335B5E">
              <w:rPr>
                <w:rFonts w:ascii="Verdana" w:hAnsi="Verdana"/>
                <w:b w:val="0"/>
                <w:sz w:val="20"/>
                <w:szCs w:val="20"/>
              </w:rPr>
              <w:t xml:space="preserve"> for the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 xml:space="preserve">Water, </w:t>
            </w:r>
            <w:r w:rsidR="00335B5E">
              <w:rPr>
                <w:rFonts w:ascii="Verdana" w:hAnsi="Verdana"/>
                <w:b w:val="0"/>
                <w:sz w:val="20"/>
                <w:szCs w:val="20"/>
              </w:rPr>
              <w:t xml:space="preserve">Technical, Engineering </w:t>
            </w:r>
            <w:r w:rsidR="00F42CB6">
              <w:rPr>
                <w:rFonts w:ascii="Verdana" w:hAnsi="Verdana"/>
                <w:b w:val="0"/>
                <w:sz w:val="20"/>
                <w:szCs w:val="20"/>
              </w:rPr>
              <w:t xml:space="preserve">and Energy divisions of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="005D036A" w:rsidRPr="00EA0BC0"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3411DA" w:rsidRPr="00EA0BC0" w:rsidRDefault="003411DA" w:rsidP="00EA0BC0">
            <w:pPr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411DA" w:rsidRPr="00EA0BC0" w:rsidRDefault="003411DA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  <w:t>Within: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5D036A" w:rsidRPr="00EA0BC0">
              <w:rPr>
                <w:rFonts w:ascii="Verdana" w:hAnsi="Verdana"/>
                <w:b w:val="0"/>
                <w:sz w:val="20"/>
                <w:szCs w:val="20"/>
              </w:rPr>
              <w:t xml:space="preserve">The limits of 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authorisation laid down by the C</w:t>
            </w:r>
            <w:r w:rsidR="005D036A" w:rsidRPr="00EA0BC0">
              <w:rPr>
                <w:rFonts w:ascii="Verdana" w:hAnsi="Verdana"/>
                <w:b w:val="0"/>
                <w:sz w:val="20"/>
                <w:szCs w:val="20"/>
              </w:rPr>
              <w:t>ompan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y’</w:t>
            </w:r>
            <w:r w:rsidR="005D036A" w:rsidRPr="00EA0BC0">
              <w:rPr>
                <w:rFonts w:ascii="Verdana" w:hAnsi="Verdana"/>
                <w:b w:val="0"/>
                <w:sz w:val="20"/>
                <w:szCs w:val="20"/>
              </w:rPr>
              <w:t>s policies and procedures</w:t>
            </w:r>
          </w:p>
          <w:p w:rsidR="003411DA" w:rsidRPr="00EA0BC0" w:rsidRDefault="003411DA" w:rsidP="00EA0BC0">
            <w:pPr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52417" w:rsidRPr="00EA0BC0" w:rsidRDefault="003411DA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color w:val="E36C0A" w:themeColor="accent6" w:themeShade="BF"/>
                <w:sz w:val="20"/>
                <w:szCs w:val="20"/>
              </w:rPr>
              <w:t>According to: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486AC9" w:rsidRPr="00EA0BC0">
              <w:rPr>
                <w:rFonts w:ascii="Verdana" w:hAnsi="Verdana"/>
                <w:b w:val="0"/>
                <w:sz w:val="20"/>
                <w:szCs w:val="20"/>
              </w:rPr>
              <w:t>The HR Recruitment &amp; R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esourcing S</w:t>
            </w:r>
            <w:r w:rsidR="005D036A" w:rsidRPr="00EA0BC0">
              <w:rPr>
                <w:rFonts w:ascii="Verdana" w:hAnsi="Verdana"/>
                <w:b w:val="0"/>
                <w:sz w:val="20"/>
                <w:szCs w:val="20"/>
              </w:rPr>
              <w:t>trategy.</w:t>
            </w:r>
          </w:p>
          <w:p w:rsidR="00C52417" w:rsidRPr="00EA0BC0" w:rsidRDefault="00C52417" w:rsidP="00EA0BC0">
            <w:pPr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</w:tbl>
    <w:p w:rsidR="00C52417" w:rsidRPr="00EA0BC0" w:rsidRDefault="00C52417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606"/>
      </w:tblGrid>
      <w:tr w:rsidR="00C52417" w:rsidRPr="00EA0BC0" w:rsidTr="00EF6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C52417" w:rsidRPr="00EA0BC0" w:rsidRDefault="00C52417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Ideal Candidate Experience</w:t>
            </w:r>
          </w:p>
        </w:tc>
      </w:tr>
      <w:tr w:rsidR="00C52417" w:rsidRPr="00EA0BC0" w:rsidTr="00EF6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EAF1DD" w:themeFill="accent3" w:themeFillTint="33"/>
          </w:tcPr>
          <w:p w:rsidR="009C6452" w:rsidRDefault="009C6452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E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xcellent organisational skills and have the ability to effectively coordinate multiple activities </w:t>
            </w:r>
          </w:p>
          <w:p w:rsidR="00F42CB6" w:rsidRDefault="00F42CB6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Have a strong technical</w:t>
            </w:r>
            <w:r w:rsidR="00335B5E">
              <w:rPr>
                <w:rFonts w:ascii="Verdana" w:hAnsi="Verdana"/>
                <w:b w:val="0"/>
                <w:sz w:val="20"/>
                <w:szCs w:val="20"/>
              </w:rPr>
              <w:t>/engineering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understanding, ideally from an engineering background.</w:t>
            </w:r>
          </w:p>
          <w:p w:rsidR="009C6452" w:rsidRDefault="009C6452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Possess up to date knowledge on recruitment legislation, best practice and the latest sourcing/search techniques and tools</w:t>
            </w:r>
          </w:p>
          <w:p w:rsidR="009C6452" w:rsidRDefault="00335B5E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Experience of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szCs w:val="20"/>
              </w:rPr>
              <w:t>e</w:t>
            </w:r>
            <w:r w:rsidR="00F42CB6">
              <w:rPr>
                <w:rFonts w:ascii="Verdana" w:hAnsi="Verdana"/>
                <w:b w:val="0"/>
                <w:sz w:val="20"/>
                <w:szCs w:val="20"/>
              </w:rPr>
              <w:t>n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gineering or technical recruiting/resourcing coupled with supporting 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multi-site organisations</w:t>
            </w:r>
            <w:r w:rsidR="005D7830">
              <w:rPr>
                <w:rFonts w:ascii="Verdana" w:hAnsi="Verdana"/>
                <w:b w:val="0"/>
                <w:sz w:val="20"/>
                <w:szCs w:val="20"/>
              </w:rPr>
              <w:t xml:space="preserve"> with experience of placing candidates within the power, energy, production and manufacturing sectors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is essential</w:t>
            </w:r>
            <w:r w:rsidR="005D7830"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Knowledge and experience of using Candidate Management systems is desirable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Proficiency with social media, including </w:t>
            </w:r>
            <w:proofErr w:type="spellStart"/>
            <w:r w:rsidRPr="00EA0BC0">
              <w:rPr>
                <w:rFonts w:ascii="Verdana" w:hAnsi="Verdana"/>
                <w:b w:val="0"/>
                <w:sz w:val="20"/>
                <w:szCs w:val="20"/>
              </w:rPr>
              <w:t>Linkedin</w:t>
            </w:r>
            <w:proofErr w:type="spellEnd"/>
          </w:p>
          <w:p w:rsidR="003B6848" w:rsidRPr="00EA0BC0" w:rsidRDefault="003B6848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Resilient and able to overcome objections constructively </w:t>
            </w:r>
          </w:p>
          <w:p w:rsidR="005D036A" w:rsidRPr="00EA0BC0" w:rsidRDefault="005D036A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Experience of cold calling</w:t>
            </w:r>
            <w:r w:rsidR="00E762FF" w:rsidRPr="00EA0BC0">
              <w:rPr>
                <w:rFonts w:ascii="Verdana" w:hAnsi="Verdana"/>
                <w:b w:val="0"/>
                <w:sz w:val="20"/>
                <w:szCs w:val="20"/>
              </w:rPr>
              <w:t xml:space="preserve"> would be advantageous</w:t>
            </w:r>
          </w:p>
          <w:p w:rsidR="00117B9E" w:rsidRDefault="009C6452" w:rsidP="00117B9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 great telephone manner</w:t>
            </w:r>
            <w:r w:rsidR="008711BE">
              <w:rPr>
                <w:rFonts w:ascii="Verdana" w:hAnsi="Verdana"/>
                <w:b w:val="0"/>
                <w:sz w:val="20"/>
                <w:szCs w:val="20"/>
              </w:rPr>
              <w:t xml:space="preserve"> and </w:t>
            </w:r>
            <w:r w:rsidR="00EA0BC0" w:rsidRPr="00EA0BC0">
              <w:rPr>
                <w:rFonts w:ascii="Verdana" w:hAnsi="Verdana"/>
                <w:b w:val="0"/>
                <w:sz w:val="20"/>
                <w:szCs w:val="20"/>
              </w:rPr>
              <w:t>comfortable screening candida</w:t>
            </w:r>
            <w:r w:rsidR="008711BE">
              <w:rPr>
                <w:rFonts w:ascii="Verdana" w:hAnsi="Verdana"/>
                <w:b w:val="0"/>
                <w:sz w:val="20"/>
                <w:szCs w:val="20"/>
              </w:rPr>
              <w:t>tes and feeding back decisions</w:t>
            </w:r>
            <w:r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9C6452" w:rsidRPr="00EA0BC0" w:rsidRDefault="009C6452" w:rsidP="009C6452">
            <w:pPr>
              <w:ind w:left="360"/>
              <w:rPr>
                <w:rFonts w:ascii="Verdana" w:eastAsia="Calibri" w:hAnsi="Verdana"/>
                <w:b w:val="0"/>
                <w:sz w:val="20"/>
                <w:szCs w:val="20"/>
              </w:rPr>
            </w:pPr>
            <w:r w:rsidRPr="00EA0BC0">
              <w:rPr>
                <w:rFonts w:ascii="Verdana" w:eastAsia="Calibri" w:hAnsi="Verdana"/>
                <w:b w:val="0"/>
                <w:sz w:val="20"/>
                <w:szCs w:val="20"/>
              </w:rPr>
              <w:t>Proficient in the use of Word and Excel, able to create and manipulate spreadsheets.</w:t>
            </w:r>
          </w:p>
          <w:p w:rsidR="009C6452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Open and selling communication style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. </w:t>
            </w:r>
          </w:p>
          <w:p w:rsidR="009C6452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Experience of influencing decision makers at all levels of the organisation.</w:t>
            </w:r>
          </w:p>
          <w:p w:rsidR="009C6452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HR generalist e</w:t>
            </w:r>
            <w:r w:rsidR="00335B5E">
              <w:rPr>
                <w:rFonts w:ascii="Verdana" w:hAnsi="Verdana"/>
                <w:b w:val="0"/>
                <w:sz w:val="20"/>
                <w:szCs w:val="20"/>
              </w:rPr>
              <w:t>xperience would be advantageous but is not essential.</w:t>
            </w:r>
          </w:p>
          <w:p w:rsidR="00F42CB6" w:rsidRPr="00876D63" w:rsidRDefault="00F42CB6" w:rsidP="00876D63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712A5" w:rsidRPr="00EA0BC0" w:rsidRDefault="00E712A5" w:rsidP="00EA0BC0">
      <w:pPr>
        <w:spacing w:after="0"/>
        <w:rPr>
          <w:rFonts w:ascii="Verdana" w:hAnsi="Verdana"/>
          <w:sz w:val="20"/>
          <w:szCs w:val="20"/>
        </w:rPr>
      </w:pPr>
    </w:p>
    <w:p w:rsidR="00C52417" w:rsidRPr="00EA0BC0" w:rsidRDefault="00C52417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557DD9" w:rsidRPr="00EA0BC0" w:rsidTr="00EF6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557DD9" w:rsidRPr="00EA0BC0" w:rsidRDefault="009C6452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Area 1</w:t>
            </w:r>
            <w:r w:rsidR="003411DA" w:rsidRPr="00EA0BC0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  <w:r w:rsidR="007F6965" w:rsidRPr="00EA0BC0">
              <w:rPr>
                <w:rFonts w:ascii="Verdana" w:hAnsi="Verdana"/>
                <w:b w:val="0"/>
                <w:sz w:val="20"/>
                <w:szCs w:val="20"/>
              </w:rPr>
              <w:t>Communication:</w:t>
            </w:r>
          </w:p>
        </w:tc>
        <w:tc>
          <w:tcPr>
            <w:tcW w:w="2268" w:type="dxa"/>
          </w:tcPr>
          <w:p w:rsidR="00557DD9" w:rsidRPr="00EA0BC0" w:rsidRDefault="00557DD9" w:rsidP="00EA0BC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Delivery Measure</w:t>
            </w:r>
          </w:p>
        </w:tc>
      </w:tr>
      <w:tr w:rsidR="00557DD9" w:rsidRPr="00EA0BC0" w:rsidTr="00EF6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793E05" w:rsidRDefault="00793E05" w:rsidP="00117B9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Be the first point of contact for all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1861AD">
              <w:rPr>
                <w:rFonts w:ascii="Verdana" w:hAnsi="Verdana"/>
                <w:b w:val="0"/>
                <w:sz w:val="20"/>
                <w:szCs w:val="20"/>
              </w:rPr>
              <w:t xml:space="preserve">Technical/Engineering </w:t>
            </w:r>
            <w:r>
              <w:rPr>
                <w:rFonts w:ascii="Verdana" w:hAnsi="Verdana"/>
                <w:b w:val="0"/>
                <w:sz w:val="20"/>
                <w:szCs w:val="20"/>
              </w:rPr>
              <w:t>resourcing queries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,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both internally and externally.</w:t>
            </w:r>
          </w:p>
          <w:p w:rsidR="00117B9E" w:rsidRDefault="00E21A3B" w:rsidP="00117B9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Discuss each vacancy in full with the recruiting manager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 xml:space="preserve"> at all levels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to be able to perform CV database searches and sell role to suitably qual</w:t>
            </w:r>
            <w:r w:rsidR="00605F62" w:rsidRPr="00EA0BC0">
              <w:rPr>
                <w:rFonts w:ascii="Verdana" w:hAnsi="Verdana"/>
                <w:b w:val="0"/>
                <w:sz w:val="20"/>
                <w:szCs w:val="20"/>
              </w:rPr>
              <w:t>ified identified candidates.</w:t>
            </w:r>
          </w:p>
          <w:p w:rsidR="00900A07" w:rsidRDefault="00117B9E" w:rsidP="00900A07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Instigate c</w:t>
            </w:r>
            <w:r w:rsidR="00900A07">
              <w:rPr>
                <w:rFonts w:ascii="Verdana" w:hAnsi="Verdana"/>
                <w:b w:val="0"/>
                <w:sz w:val="20"/>
                <w:szCs w:val="20"/>
              </w:rPr>
              <w:t>ontact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with identified</w:t>
            </w:r>
            <w:r w:rsidR="00900A07">
              <w:rPr>
                <w:rFonts w:ascii="Verdana" w:hAnsi="Verdana"/>
                <w:b w:val="0"/>
                <w:sz w:val="20"/>
                <w:szCs w:val="20"/>
              </w:rPr>
              <w:t xml:space="preserve"> candidates from CV search via phone and email, screen candidates against the Recruiting managers JD/shortlist and invite to interview if appropriate.</w:t>
            </w:r>
          </w:p>
          <w:p w:rsidR="00793E05" w:rsidRPr="00EA0BC0" w:rsidRDefault="00793E05" w:rsidP="00900A07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Deal effectively with speculative job enquiries from candidates and ensure they are forwarded to the appropriate managers.</w:t>
            </w:r>
          </w:p>
        </w:tc>
        <w:tc>
          <w:tcPr>
            <w:tcW w:w="2268" w:type="dxa"/>
          </w:tcPr>
          <w:p w:rsidR="00557DD9" w:rsidRDefault="00900A0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O&amp;A</w:t>
            </w:r>
          </w:p>
          <w:p w:rsidR="00900A07" w:rsidRDefault="00900A0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00A07" w:rsidRDefault="00900A0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00A07" w:rsidRPr="00EA0BC0" w:rsidRDefault="00900A07" w:rsidP="00EA0BC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KPI’s</w:t>
            </w:r>
          </w:p>
        </w:tc>
      </w:tr>
      <w:tr w:rsidR="00557DD9" w:rsidRPr="00EA0BC0" w:rsidTr="00EF6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EAF1DD" w:themeFill="accent3" w:themeFillTint="33"/>
          </w:tcPr>
          <w:p w:rsidR="00557DD9" w:rsidRPr="00EA0BC0" w:rsidRDefault="00756C26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I</w:t>
            </w:r>
            <w:r w:rsidR="00557DD9" w:rsidRPr="00EA0BC0">
              <w:rPr>
                <w:rFonts w:ascii="Verdana" w:hAnsi="Verdana"/>
                <w:b w:val="0"/>
                <w:sz w:val="20"/>
                <w:szCs w:val="20"/>
              </w:rPr>
              <w:t>n order to</w:t>
            </w:r>
            <w:r w:rsidR="008711BE">
              <w:rPr>
                <w:rFonts w:ascii="Verdana" w:hAnsi="Verdana"/>
                <w:b w:val="0"/>
                <w:sz w:val="20"/>
                <w:szCs w:val="20"/>
              </w:rPr>
              <w:t xml:space="preserve"> ensure effective dialogue with all stakeholders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557DD9" w:rsidRPr="00EA0BC0" w:rsidRDefault="00557DD9" w:rsidP="00EA0BC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57DD9" w:rsidRDefault="00557DD9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8711BE" w:rsidRPr="00EA0BC0" w:rsidTr="0087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8711BE" w:rsidRPr="00EA0BC0" w:rsidRDefault="009C6452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Area 2</w:t>
            </w:r>
            <w:r w:rsidR="008711BE" w:rsidRPr="00EA0BC0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  <w:r w:rsidR="008711BE">
              <w:rPr>
                <w:rFonts w:ascii="Verdana" w:hAnsi="Verdana"/>
                <w:b w:val="0"/>
                <w:sz w:val="20"/>
                <w:szCs w:val="20"/>
              </w:rPr>
              <w:t>Internal Customer</w:t>
            </w:r>
          </w:p>
        </w:tc>
        <w:tc>
          <w:tcPr>
            <w:tcW w:w="2268" w:type="dxa"/>
          </w:tcPr>
          <w:p w:rsidR="008711BE" w:rsidRPr="00EA0BC0" w:rsidRDefault="008711BE" w:rsidP="008711B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Delivery 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lastRenderedPageBreak/>
              <w:t>Measure</w:t>
            </w:r>
          </w:p>
        </w:tc>
      </w:tr>
      <w:tr w:rsidR="008711BE" w:rsidRPr="00EA0BC0" w:rsidTr="0087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00A07" w:rsidRDefault="00900A07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lastRenderedPageBreak/>
              <w:t>Inform Managers weekly of the number of applications per vacancy and discuss and recommend alternative routes and options to resourcing the vacancy should it be deemed necessary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szCs w:val="20"/>
              </w:rPr>
              <w:t>Support recruiting/HR Managers with queries relating to recruitment.</w:t>
            </w:r>
          </w:p>
          <w:p w:rsidR="00117B9E" w:rsidRDefault="00117B9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Provide recruiting managers with recruitment suite tools relevant to the job role.</w:t>
            </w:r>
          </w:p>
          <w:p w:rsidR="00676C6F" w:rsidRPr="00876D63" w:rsidRDefault="00676C6F" w:rsidP="00876D63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Pro</w:t>
            </w:r>
            <w:r w:rsidR="00117B9E">
              <w:rPr>
                <w:rFonts w:ascii="Verdana" w:hAnsi="Verdana"/>
                <w:b w:val="0"/>
                <w:sz w:val="20"/>
                <w:szCs w:val="20"/>
              </w:rPr>
              <w:t>actively review application</w:t>
            </w:r>
            <w:r w:rsidR="00876D63">
              <w:rPr>
                <w:rFonts w:ascii="Verdana" w:hAnsi="Verdana"/>
                <w:b w:val="0"/>
                <w:sz w:val="20"/>
                <w:szCs w:val="20"/>
              </w:rPr>
              <w:t xml:space="preserve"> quality</w:t>
            </w:r>
            <w:r w:rsidR="00117B9E">
              <w:rPr>
                <w:rFonts w:ascii="Verdana" w:hAnsi="Verdana"/>
                <w:b w:val="0"/>
                <w:sz w:val="20"/>
                <w:szCs w:val="20"/>
              </w:rPr>
              <w:t xml:space="preserve"> for each role and make judgement call on whether further intervention is required.</w:t>
            </w:r>
          </w:p>
        </w:tc>
        <w:tc>
          <w:tcPr>
            <w:tcW w:w="2268" w:type="dxa"/>
          </w:tcPr>
          <w:p w:rsidR="008711BE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P&amp;L/KPI’s</w:t>
            </w:r>
          </w:p>
          <w:p w:rsidR="00900A07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00A07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00A07" w:rsidRPr="00EA0BC0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Customer Survey</w:t>
            </w:r>
          </w:p>
        </w:tc>
      </w:tr>
      <w:tr w:rsidR="008711BE" w:rsidRPr="00EA0BC0" w:rsidTr="00871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In order to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maximise co-operation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11BE" w:rsidRDefault="008711BE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8711BE" w:rsidRPr="00EA0BC0" w:rsidTr="0087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8711BE" w:rsidRPr="00EA0BC0" w:rsidRDefault="009C6452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Area 3</w:t>
            </w:r>
            <w:r w:rsidR="008711BE" w:rsidRPr="00EA0BC0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  <w:r w:rsidR="008711BE">
              <w:rPr>
                <w:rFonts w:ascii="Verdana" w:hAnsi="Verdana"/>
                <w:b w:val="0"/>
                <w:sz w:val="20"/>
                <w:szCs w:val="20"/>
              </w:rPr>
              <w:t>Profitability</w:t>
            </w:r>
          </w:p>
        </w:tc>
        <w:tc>
          <w:tcPr>
            <w:tcW w:w="2268" w:type="dxa"/>
          </w:tcPr>
          <w:p w:rsidR="008711BE" w:rsidRPr="00EA0BC0" w:rsidRDefault="008711BE" w:rsidP="008711B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Delivery Measure</w:t>
            </w:r>
          </w:p>
        </w:tc>
      </w:tr>
      <w:tr w:rsidR="008711BE" w:rsidRPr="00EA0BC0" w:rsidTr="0087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8711BE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Ensure that all vacancies are posted to the appropriate job boards and websites as agreed with the recruiting Manager and in line with the Recruitment budget.</w:t>
            </w:r>
          </w:p>
          <w:p w:rsidR="00676C6F" w:rsidRPr="00876D63" w:rsidRDefault="00900A07" w:rsidP="00876D63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Work with the R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>e</w:t>
            </w:r>
            <w:r w:rsidR="004956F7">
              <w:rPr>
                <w:rFonts w:ascii="Verdana" w:hAnsi="Verdana"/>
                <w:b w:val="0"/>
                <w:sz w:val="20"/>
                <w:szCs w:val="20"/>
              </w:rPr>
              <w:t>sourcing Manager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and 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>Recruiting M</w:t>
            </w:r>
            <w:r>
              <w:rPr>
                <w:rFonts w:ascii="Verdana" w:hAnsi="Verdana"/>
                <w:b w:val="0"/>
                <w:sz w:val="20"/>
                <w:szCs w:val="20"/>
              </w:rPr>
              <w:t>anagers to reduce the time to Hire</w:t>
            </w:r>
            <w:r w:rsidR="00876D63">
              <w:rPr>
                <w:rFonts w:ascii="Verdana" w:hAnsi="Verdana"/>
                <w:b w:val="0"/>
                <w:sz w:val="20"/>
                <w:szCs w:val="20"/>
              </w:rPr>
              <w:t xml:space="preserve"> and the cost per applicant recruited.</w:t>
            </w:r>
          </w:p>
        </w:tc>
        <w:tc>
          <w:tcPr>
            <w:tcW w:w="2268" w:type="dxa"/>
          </w:tcPr>
          <w:p w:rsidR="008711BE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P&amp;L</w:t>
            </w:r>
          </w:p>
          <w:p w:rsidR="00900A07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00A07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00A07" w:rsidRPr="00EA0BC0" w:rsidRDefault="00900A07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KPI’s</w:t>
            </w:r>
          </w:p>
        </w:tc>
      </w:tr>
      <w:tr w:rsidR="008711BE" w:rsidRPr="00EA0BC0" w:rsidTr="00871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In order to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achieve the financial targets and other KPI’s.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11BE" w:rsidRDefault="008711BE" w:rsidP="00EA0BC0">
      <w:pPr>
        <w:spacing w:after="0"/>
        <w:rPr>
          <w:rFonts w:ascii="Verdana" w:hAnsi="Verdana"/>
          <w:sz w:val="20"/>
          <w:szCs w:val="20"/>
        </w:rPr>
      </w:pPr>
    </w:p>
    <w:p w:rsidR="009C6452" w:rsidRDefault="009C6452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7539"/>
        <w:gridCol w:w="2089"/>
      </w:tblGrid>
      <w:tr w:rsidR="009C6452" w:rsidRPr="00EA0BC0" w:rsidTr="009C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Area 4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: Administration</w:t>
            </w:r>
          </w:p>
        </w:tc>
        <w:tc>
          <w:tcPr>
            <w:tcW w:w="1985" w:type="dxa"/>
          </w:tcPr>
          <w:p w:rsidR="009C6452" w:rsidRPr="00EA0BC0" w:rsidRDefault="009C6452" w:rsidP="009C6452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Delivery Measure</w:t>
            </w:r>
          </w:p>
        </w:tc>
      </w:tr>
      <w:tr w:rsidR="009C6452" w:rsidRPr="00EA0BC0" w:rsidTr="009C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Administrate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>,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via the electronic candidate management system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>,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’s recruitment process from approval of the recruitment Request to acceptance of the completed contract request form. 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Comprehensive 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 xml:space="preserve">and diligent </w:t>
            </w:r>
            <w:r>
              <w:rPr>
                <w:rFonts w:ascii="Verdana" w:hAnsi="Verdana"/>
                <w:b w:val="0"/>
                <w:sz w:val="20"/>
                <w:szCs w:val="20"/>
              </w:rPr>
              <w:t>p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osting of vacancies to Job boards, review of application numbers, sending applications to managers, inviting/rejecting the appropria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>te candidates in line with the R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ecruit</w:t>
            </w:r>
            <w:r w:rsidR="00676C6F">
              <w:rPr>
                <w:rFonts w:ascii="Verdana" w:hAnsi="Verdana"/>
                <w:b w:val="0"/>
                <w:sz w:val="20"/>
                <w:szCs w:val="20"/>
              </w:rPr>
              <w:t>ing M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anager’s request.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Create the weekly vacancy bulletin and distribute to the appropriate managers.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Support the Resourcing Manager with the </w:t>
            </w:r>
            <w:r w:rsidR="004956F7">
              <w:rPr>
                <w:rFonts w:ascii="Verdana" w:hAnsi="Verdana"/>
                <w:b w:val="0"/>
                <w:sz w:val="20"/>
                <w:szCs w:val="20"/>
              </w:rPr>
              <w:t xml:space="preserve">ongoing 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administration of the Roles and Responsibilities</w:t>
            </w:r>
            <w:r w:rsidR="00756C26">
              <w:rPr>
                <w:rFonts w:ascii="Verdana" w:hAnsi="Verdana"/>
                <w:b w:val="0"/>
                <w:sz w:val="20"/>
                <w:szCs w:val="20"/>
              </w:rPr>
              <w:t xml:space="preserve"> management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To ensure outdated materials are deleted  from the above records (</w:t>
            </w:r>
            <w:proofErr w:type="spellStart"/>
            <w:r w:rsidRPr="00EA0BC0">
              <w:rPr>
                <w:rFonts w:ascii="Verdana" w:hAnsi="Verdana"/>
                <w:b w:val="0"/>
                <w:sz w:val="20"/>
                <w:szCs w:val="20"/>
              </w:rPr>
              <w:t>eg</w:t>
            </w:r>
            <w:proofErr w:type="spellEnd"/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old JDs </w:t>
            </w:r>
            <w:proofErr w:type="spellStart"/>
            <w:r w:rsidRPr="00EA0BC0">
              <w:rPr>
                <w:rFonts w:ascii="Verdana" w:hAnsi="Verdana"/>
                <w:b w:val="0"/>
                <w:sz w:val="20"/>
                <w:szCs w:val="20"/>
              </w:rPr>
              <w:t>etc</w:t>
            </w:r>
            <w:proofErr w:type="spellEnd"/>
            <w:r w:rsidRPr="00EA0BC0">
              <w:rPr>
                <w:rFonts w:ascii="Verdana" w:hAnsi="Verdana"/>
                <w:b w:val="0"/>
                <w:sz w:val="20"/>
                <w:szCs w:val="20"/>
              </w:rPr>
              <w:t>) and that all users are kept aware of the latest versions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To provide  statistical reports as designed by the </w:t>
            </w:r>
            <w:r w:rsidR="00876D63">
              <w:rPr>
                <w:rFonts w:ascii="Verdana" w:hAnsi="Verdana"/>
                <w:b w:val="0"/>
                <w:sz w:val="20"/>
                <w:szCs w:val="20"/>
              </w:rPr>
              <w:t>Resourcing Manager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on set dates</w:t>
            </w:r>
          </w:p>
          <w:p w:rsidR="009C6452" w:rsidRPr="00EA0BC0" w:rsidRDefault="00756C26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To be an </w:t>
            </w:r>
            <w:r w:rsidR="00876D63">
              <w:rPr>
                <w:rFonts w:ascii="Verdana" w:hAnsi="Verdana"/>
                <w:b w:val="0"/>
                <w:sz w:val="20"/>
                <w:szCs w:val="20"/>
              </w:rPr>
              <w:t>‘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>expert</w:t>
            </w:r>
            <w:r w:rsidR="00876D63" w:rsidRPr="00876D63">
              <w:rPr>
                <w:rFonts w:ascii="Verdana" w:hAnsi="Verdana"/>
                <w:b w:val="0"/>
                <w:sz w:val="20"/>
                <w:szCs w:val="20"/>
              </w:rPr>
              <w:t>’</w:t>
            </w:r>
            <w:r w:rsidR="009C6452" w:rsidRPr="00876D63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 xml:space="preserve">user on the </w:t>
            </w:r>
            <w:proofErr w:type="spellStart"/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>Harbor</w:t>
            </w:r>
            <w:proofErr w:type="spellEnd"/>
            <w:r>
              <w:rPr>
                <w:rFonts w:ascii="Verdana" w:hAnsi="Verdana"/>
                <w:b w:val="0"/>
                <w:sz w:val="20"/>
                <w:szCs w:val="20"/>
              </w:rPr>
              <w:t>/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 xml:space="preserve"> electronic recruitment/candidate management system</w:t>
            </w:r>
            <w:r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To develop </w:t>
            </w:r>
            <w:r w:rsidR="00756C26" w:rsidRPr="00756C26">
              <w:rPr>
                <w:rFonts w:ascii="Verdana" w:hAnsi="Verdana"/>
                <w:b w:val="0"/>
                <w:sz w:val="20"/>
                <w:szCs w:val="20"/>
              </w:rPr>
              <w:t>and</w:t>
            </w:r>
            <w:r w:rsidR="00756C26">
              <w:rPr>
                <w:rFonts w:ascii="Verdana" w:hAnsi="Verdana"/>
                <w:b w:val="0"/>
                <w:sz w:val="20"/>
                <w:szCs w:val="20"/>
              </w:rPr>
              <w:t xml:space="preserve"> maintain the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use of social media as a recruitment tool, specifically LinkedIn</w:t>
            </w:r>
            <w:r w:rsidR="00756C26"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9C6452" w:rsidRDefault="00756C26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Analyse and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 xml:space="preserve"> review the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 xml:space="preserve"> internal HR recruitment procedures with the R</w:t>
            </w:r>
            <w:r>
              <w:rPr>
                <w:rFonts w:ascii="Verdana" w:hAnsi="Verdana"/>
                <w:b w:val="0"/>
                <w:sz w:val="20"/>
                <w:szCs w:val="20"/>
              </w:rPr>
              <w:t>e</w:t>
            </w:r>
            <w:r w:rsidR="004956F7">
              <w:rPr>
                <w:rFonts w:ascii="Verdana" w:hAnsi="Verdana"/>
                <w:b w:val="0"/>
                <w:sz w:val="20"/>
                <w:szCs w:val="20"/>
              </w:rPr>
              <w:t>sourcing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>M</w:t>
            </w:r>
            <w:r>
              <w:rPr>
                <w:rFonts w:ascii="Verdana" w:hAnsi="Verdana"/>
                <w:b w:val="0"/>
                <w:sz w:val="20"/>
                <w:szCs w:val="20"/>
              </w:rPr>
              <w:t>anager</w:t>
            </w:r>
            <w:r w:rsidR="009C6452" w:rsidRPr="00EA0BC0">
              <w:rPr>
                <w:rFonts w:ascii="Verdana" w:hAnsi="Verdana"/>
                <w:b w:val="0"/>
                <w:sz w:val="20"/>
                <w:szCs w:val="20"/>
              </w:rPr>
              <w:t xml:space="preserve"> and make recommendations for developments/improvement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s</w:t>
            </w:r>
            <w:r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9C6452" w:rsidRPr="00EA0BC0" w:rsidRDefault="00756C26" w:rsidP="00756C26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Create and manage </w:t>
            </w:r>
            <w:r w:rsidR="009C6452">
              <w:rPr>
                <w:rFonts w:ascii="Verdana" w:hAnsi="Verdana"/>
                <w:b w:val="0"/>
                <w:sz w:val="20"/>
                <w:szCs w:val="20"/>
              </w:rPr>
              <w:t>a database of suitable applicants for longer term prospecting.</w:t>
            </w:r>
          </w:p>
        </w:tc>
        <w:tc>
          <w:tcPr>
            <w:tcW w:w="1985" w:type="dxa"/>
          </w:tcPr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reporting</w:t>
            </w: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reporting/KPI’s</w:t>
            </w: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Weekly reports</w:t>
            </w: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reports</w:t>
            </w: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Audit</w:t>
            </w: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9C6452" w:rsidRDefault="009C6452" w:rsidP="009C645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KPI’s</w:t>
            </w:r>
          </w:p>
          <w:p w:rsidR="009C6452" w:rsidRPr="00EA0BC0" w:rsidRDefault="009C6452" w:rsidP="009C6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C6452" w:rsidRPr="00EA0BC0" w:rsidTr="009C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shd w:val="clear" w:color="auto" w:fill="EAF1DD" w:themeFill="accent3" w:themeFillTint="33"/>
          </w:tcPr>
          <w:p w:rsidR="009C6452" w:rsidRPr="00EA0BC0" w:rsidRDefault="009C6452" w:rsidP="009C6452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In order to </w:t>
            </w:r>
            <w:r>
              <w:rPr>
                <w:rFonts w:ascii="Verdana" w:hAnsi="Verdana"/>
                <w:b w:val="0"/>
                <w:sz w:val="20"/>
                <w:szCs w:val="20"/>
              </w:rPr>
              <w:t>ensure the accuracy and timeliness of information and data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9C6452" w:rsidRPr="00EA0BC0" w:rsidRDefault="009C6452" w:rsidP="009C645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C6452" w:rsidRDefault="009C6452" w:rsidP="00EA0BC0">
      <w:pPr>
        <w:spacing w:after="0"/>
        <w:rPr>
          <w:rFonts w:ascii="Verdana" w:hAnsi="Verdana"/>
          <w:sz w:val="20"/>
          <w:szCs w:val="20"/>
        </w:rPr>
      </w:pPr>
    </w:p>
    <w:p w:rsidR="001861AD" w:rsidRDefault="001861AD" w:rsidP="00EA0BC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#</w:t>
      </w:r>
    </w:p>
    <w:p w:rsidR="009C6452" w:rsidRDefault="009C6452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8711BE" w:rsidRPr="00EA0BC0" w:rsidTr="0087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8711BE" w:rsidRPr="00EA0BC0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Area 5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 w:val="0"/>
                <w:sz w:val="20"/>
                <w:szCs w:val="20"/>
              </w:rPr>
              <w:t>Legislative Compliance</w:t>
            </w:r>
          </w:p>
        </w:tc>
        <w:tc>
          <w:tcPr>
            <w:tcW w:w="2268" w:type="dxa"/>
          </w:tcPr>
          <w:p w:rsidR="008711BE" w:rsidRPr="00EA0BC0" w:rsidRDefault="008711BE" w:rsidP="008711B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Delivery Measure</w:t>
            </w:r>
          </w:p>
        </w:tc>
      </w:tr>
      <w:tr w:rsidR="008711BE" w:rsidRPr="00EA0BC0" w:rsidTr="0087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CF70E9" w:rsidRPr="0054660F" w:rsidRDefault="008711BE" w:rsidP="0054660F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lastRenderedPageBreak/>
              <w:t xml:space="preserve">To continually review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application forms, monitoring forms etc for appropriateness to the needs of the business and in line with current legislation.</w:t>
            </w:r>
          </w:p>
        </w:tc>
        <w:tc>
          <w:tcPr>
            <w:tcW w:w="2268" w:type="dxa"/>
          </w:tcPr>
          <w:p w:rsidR="008711BE" w:rsidRPr="00EA0BC0" w:rsidRDefault="00E05841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P&amp;P</w:t>
            </w:r>
          </w:p>
        </w:tc>
      </w:tr>
      <w:tr w:rsidR="008711BE" w:rsidRPr="00EA0BC0" w:rsidTr="00871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In order to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protect our customers, our employee’s, the environment and the company reputation.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11BE" w:rsidRDefault="008711BE" w:rsidP="008711BE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8711BE" w:rsidRPr="00EA0BC0" w:rsidTr="0087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8711BE" w:rsidRPr="00EA0BC0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Area 6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 w:val="0"/>
                <w:sz w:val="20"/>
                <w:szCs w:val="20"/>
              </w:rPr>
              <w:t>Company Ambassador</w:t>
            </w:r>
          </w:p>
        </w:tc>
        <w:tc>
          <w:tcPr>
            <w:tcW w:w="2268" w:type="dxa"/>
          </w:tcPr>
          <w:p w:rsidR="008711BE" w:rsidRPr="00EA0BC0" w:rsidRDefault="008711BE" w:rsidP="008711B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Delivery Measure</w:t>
            </w:r>
          </w:p>
        </w:tc>
      </w:tr>
      <w:tr w:rsidR="008711BE" w:rsidRPr="00EA0BC0" w:rsidTr="0087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8711BE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Act </w:t>
            </w:r>
            <w:r w:rsidR="00900A07" w:rsidRPr="00EA0BC0">
              <w:rPr>
                <w:rFonts w:ascii="Verdana" w:hAnsi="Verdana"/>
                <w:b w:val="0"/>
                <w:sz w:val="20"/>
                <w:szCs w:val="20"/>
              </w:rPr>
              <w:t>as a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brand ambassador</w:t>
            </w:r>
            <w:r w:rsidR="004956F7">
              <w:rPr>
                <w:rFonts w:ascii="Verdana" w:hAnsi="Verdana"/>
                <w:b w:val="0"/>
                <w:sz w:val="20"/>
                <w:szCs w:val="20"/>
              </w:rPr>
              <w:t>, both internally and specifically externally,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and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understand the importance of 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delivering a great candidate experience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throughout the recruitment process.</w:t>
            </w:r>
          </w:p>
          <w:p w:rsidR="008711BE" w:rsidRPr="00EA0BC0" w:rsidRDefault="009165E0" w:rsidP="00756C26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R</w:t>
            </w:r>
            <w:r w:rsidR="008711BE" w:rsidRPr="00EA0BC0">
              <w:rPr>
                <w:rFonts w:ascii="Verdana" w:hAnsi="Verdana"/>
                <w:b w:val="0"/>
                <w:sz w:val="20"/>
                <w:szCs w:val="20"/>
              </w:rPr>
              <w:t xml:space="preserve">epresent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="008711BE" w:rsidRPr="00EA0BC0">
              <w:rPr>
                <w:rFonts w:ascii="Verdana" w:hAnsi="Verdana"/>
                <w:b w:val="0"/>
                <w:sz w:val="20"/>
                <w:szCs w:val="20"/>
              </w:rPr>
              <w:t xml:space="preserve"> on Linked</w:t>
            </w:r>
            <w:r w:rsidR="00756C26">
              <w:rPr>
                <w:rFonts w:ascii="Verdana" w:hAnsi="Verdana"/>
                <w:b w:val="0"/>
                <w:sz w:val="20"/>
                <w:szCs w:val="20"/>
              </w:rPr>
              <w:t xml:space="preserve">In as the </w:t>
            </w:r>
            <w:r w:rsidR="00CA6CCC">
              <w:rPr>
                <w:rFonts w:ascii="Verdana" w:hAnsi="Verdana"/>
                <w:b w:val="0"/>
                <w:sz w:val="20"/>
                <w:szCs w:val="20"/>
              </w:rPr>
              <w:t>‘</w:t>
            </w:r>
            <w:r w:rsidR="008711BE" w:rsidRPr="00EA0BC0">
              <w:rPr>
                <w:rFonts w:ascii="Verdana" w:hAnsi="Verdana"/>
                <w:b w:val="0"/>
                <w:sz w:val="20"/>
                <w:szCs w:val="20"/>
              </w:rPr>
              <w:t>job poster</w:t>
            </w:r>
            <w:r w:rsidR="00CA6CCC">
              <w:rPr>
                <w:rFonts w:ascii="Verdana" w:hAnsi="Verdana"/>
                <w:b w:val="0"/>
                <w:sz w:val="20"/>
                <w:szCs w:val="20"/>
              </w:rPr>
              <w:t>’</w:t>
            </w:r>
            <w:r w:rsidR="008711BE" w:rsidRPr="00EA0BC0">
              <w:rPr>
                <w:rFonts w:ascii="Verdana" w:hAnsi="Verdana"/>
                <w:b w:val="0"/>
                <w:sz w:val="20"/>
                <w:szCs w:val="20"/>
              </w:rPr>
              <w:t xml:space="preserve"> and the contact/follow up to identified individuals and discussion groups</w:t>
            </w:r>
            <w:r w:rsidR="008711BE">
              <w:rPr>
                <w:rFonts w:ascii="Verdana" w:hAnsi="Verdana"/>
                <w:b w:val="0"/>
                <w:sz w:val="20"/>
                <w:szCs w:val="20"/>
              </w:rPr>
              <w:t xml:space="preserve"> in a professional manner.</w:t>
            </w:r>
          </w:p>
        </w:tc>
        <w:tc>
          <w:tcPr>
            <w:tcW w:w="2268" w:type="dxa"/>
          </w:tcPr>
          <w:p w:rsidR="008711BE" w:rsidRPr="00EA0BC0" w:rsidRDefault="008711BE" w:rsidP="008711B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Over &amp; Above</w:t>
            </w:r>
          </w:p>
        </w:tc>
      </w:tr>
      <w:tr w:rsidR="008711BE" w:rsidRPr="00EA0BC0" w:rsidTr="00871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In order to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represent the company in a professional manner at all times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711BE" w:rsidRPr="00EA0BC0" w:rsidRDefault="008711BE" w:rsidP="008711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11BE" w:rsidRPr="00EA0BC0" w:rsidRDefault="008711BE" w:rsidP="00EA0BC0">
      <w:pPr>
        <w:spacing w:after="0"/>
        <w:rPr>
          <w:rFonts w:ascii="Verdana" w:hAnsi="Verdana"/>
          <w:sz w:val="20"/>
          <w:szCs w:val="20"/>
        </w:rPr>
      </w:pPr>
    </w:p>
    <w:p w:rsidR="00557DD9" w:rsidRPr="00EA0BC0" w:rsidRDefault="00557DD9" w:rsidP="00EA0BC0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F6899" w:rsidRPr="00EA0BC0" w:rsidTr="00633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F6899" w:rsidRPr="00EA0BC0" w:rsidTr="0063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In line with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>'s Values and Ethics Charter, the job holder is expected to:</w:t>
            </w:r>
          </w:p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Act in an honest, responsible and respectful manner to others;</w:t>
            </w:r>
          </w:p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Be responsible for their own professional conduct;</w:t>
            </w:r>
          </w:p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Comply everywhere and in all circumstances with the laws and regulations connected with their activities;</w:t>
            </w:r>
          </w:p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Comply with our obligations to other parties such as shareholders, associates, clients, suppliers and the community;</w:t>
            </w:r>
          </w:p>
          <w:p w:rsidR="00EF6899" w:rsidRPr="00EA0BC0" w:rsidRDefault="00EF6899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>- Ensure the health, safety and wellbeing of employees, customers and other personnel at all times.</w:t>
            </w:r>
          </w:p>
        </w:tc>
      </w:tr>
      <w:tr w:rsidR="000A01CC" w:rsidRPr="00EA0BC0" w:rsidTr="0063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:rsidR="000A01CC" w:rsidRPr="00EA0BC0" w:rsidRDefault="000A01CC" w:rsidP="00EA0BC0">
            <w:pPr>
              <w:ind w:left="360"/>
              <w:rPr>
                <w:rFonts w:ascii="Verdana" w:hAnsi="Verdana"/>
                <w:b w:val="0"/>
                <w:sz w:val="20"/>
                <w:szCs w:val="20"/>
              </w:rPr>
            </w:pP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2. The content of this job description reflects the main duties and responsibilities of the job and are not intended to form part of the contract of employment. </w:t>
            </w:r>
            <w:r w:rsidR="00FE5942">
              <w:rPr>
                <w:rFonts w:ascii="Verdana" w:hAnsi="Verdana"/>
                <w:b w:val="0"/>
                <w:sz w:val="20"/>
                <w:szCs w:val="20"/>
              </w:rPr>
              <w:t>SUEZ</w:t>
            </w:r>
            <w:r w:rsidRPr="00EA0BC0">
              <w:rPr>
                <w:rFonts w:ascii="Verdana" w:hAnsi="Verdana"/>
                <w:b w:val="0"/>
                <w:sz w:val="20"/>
                <w:szCs w:val="20"/>
              </w:rPr>
              <w:t xml:space="preserve"> may revise the content of these roles and responsibilities at its discretion.</w:t>
            </w:r>
          </w:p>
        </w:tc>
      </w:tr>
    </w:tbl>
    <w:p w:rsidR="00EF6899" w:rsidRPr="00EA0BC0" w:rsidRDefault="00EF6899" w:rsidP="00EA0BC0">
      <w:pPr>
        <w:spacing w:after="0"/>
        <w:rPr>
          <w:rFonts w:ascii="Verdana" w:hAnsi="Verdana"/>
          <w:sz w:val="20"/>
          <w:szCs w:val="20"/>
        </w:rPr>
      </w:pPr>
    </w:p>
    <w:p w:rsidR="00F7421E" w:rsidRPr="00EA0BC0" w:rsidRDefault="00F7421E" w:rsidP="00EA0BC0">
      <w:pPr>
        <w:spacing w:after="0"/>
        <w:rPr>
          <w:rFonts w:ascii="Verdana" w:hAnsi="Verdana"/>
          <w:sz w:val="20"/>
          <w:szCs w:val="20"/>
        </w:rPr>
      </w:pPr>
    </w:p>
    <w:p w:rsidR="00374E27" w:rsidRPr="00EA0BC0" w:rsidRDefault="00374E27" w:rsidP="00EA0BC0">
      <w:pPr>
        <w:rPr>
          <w:rFonts w:ascii="Verdana" w:hAnsi="Verdana"/>
          <w:sz w:val="20"/>
          <w:szCs w:val="20"/>
        </w:rPr>
      </w:pPr>
    </w:p>
    <w:p w:rsidR="00374E27" w:rsidRPr="00EA0BC0" w:rsidRDefault="00374E27" w:rsidP="00EA0BC0">
      <w:pPr>
        <w:rPr>
          <w:rFonts w:ascii="Verdana" w:hAnsi="Verdana"/>
          <w:sz w:val="20"/>
          <w:szCs w:val="20"/>
        </w:rPr>
      </w:pPr>
    </w:p>
    <w:p w:rsidR="00374E27" w:rsidRPr="00EA0BC0" w:rsidRDefault="00374E27" w:rsidP="00EA0BC0">
      <w:pPr>
        <w:rPr>
          <w:rFonts w:ascii="Verdana" w:hAnsi="Verdana"/>
          <w:sz w:val="20"/>
          <w:szCs w:val="20"/>
        </w:rPr>
      </w:pPr>
    </w:p>
    <w:p w:rsidR="00F7421E" w:rsidRPr="00EA0BC0" w:rsidRDefault="00F7421E" w:rsidP="00EA0BC0">
      <w:pPr>
        <w:spacing w:after="0"/>
        <w:rPr>
          <w:rFonts w:ascii="Verdana" w:hAnsi="Verdana"/>
          <w:sz w:val="20"/>
          <w:szCs w:val="20"/>
        </w:rPr>
      </w:pPr>
    </w:p>
    <w:sectPr w:rsidR="00F7421E" w:rsidRPr="00EA0BC0" w:rsidSect="00EF6899">
      <w:pgSz w:w="11906" w:h="16838"/>
      <w:pgMar w:top="136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3316"/>
    <w:multiLevelType w:val="hybridMultilevel"/>
    <w:tmpl w:val="23E4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B8F"/>
    <w:multiLevelType w:val="hybridMultilevel"/>
    <w:tmpl w:val="4B0EE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DC82D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45C1"/>
    <w:multiLevelType w:val="hybridMultilevel"/>
    <w:tmpl w:val="89760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128B"/>
    <w:multiLevelType w:val="hybridMultilevel"/>
    <w:tmpl w:val="1F381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77A64"/>
    <w:multiLevelType w:val="multilevel"/>
    <w:tmpl w:val="271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B4EB6"/>
    <w:multiLevelType w:val="hybridMultilevel"/>
    <w:tmpl w:val="5866B8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167FE"/>
    <w:multiLevelType w:val="hybridMultilevel"/>
    <w:tmpl w:val="9AECD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946296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</w:abstractNum>
  <w:abstractNum w:abstractNumId="8" w15:restartNumberingAfterBreak="0">
    <w:nsid w:val="6FDA5630"/>
    <w:multiLevelType w:val="hybridMultilevel"/>
    <w:tmpl w:val="B21E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17"/>
    <w:rsid w:val="0007776C"/>
    <w:rsid w:val="00084EC8"/>
    <w:rsid w:val="000A01CC"/>
    <w:rsid w:val="000C40EC"/>
    <w:rsid w:val="00117B9E"/>
    <w:rsid w:val="0017507E"/>
    <w:rsid w:val="00177586"/>
    <w:rsid w:val="001861AD"/>
    <w:rsid w:val="001C1379"/>
    <w:rsid w:val="001E3EA5"/>
    <w:rsid w:val="00210FBB"/>
    <w:rsid w:val="002170FF"/>
    <w:rsid w:val="0029378E"/>
    <w:rsid w:val="002A27CB"/>
    <w:rsid w:val="00335B5E"/>
    <w:rsid w:val="003411DA"/>
    <w:rsid w:val="00374E27"/>
    <w:rsid w:val="003B00D7"/>
    <w:rsid w:val="003B6848"/>
    <w:rsid w:val="003E2FD7"/>
    <w:rsid w:val="00452DFC"/>
    <w:rsid w:val="00486AC9"/>
    <w:rsid w:val="004956F7"/>
    <w:rsid w:val="00506659"/>
    <w:rsid w:val="0054660F"/>
    <w:rsid w:val="00557DD9"/>
    <w:rsid w:val="005D036A"/>
    <w:rsid w:val="005D7830"/>
    <w:rsid w:val="00605F62"/>
    <w:rsid w:val="00620797"/>
    <w:rsid w:val="006334B9"/>
    <w:rsid w:val="00676C6F"/>
    <w:rsid w:val="006E4357"/>
    <w:rsid w:val="007128F7"/>
    <w:rsid w:val="00724D31"/>
    <w:rsid w:val="00740E38"/>
    <w:rsid w:val="00756C26"/>
    <w:rsid w:val="007770F6"/>
    <w:rsid w:val="00790836"/>
    <w:rsid w:val="00793E05"/>
    <w:rsid w:val="007C6A2C"/>
    <w:rsid w:val="007D38E0"/>
    <w:rsid w:val="007D5598"/>
    <w:rsid w:val="007F6965"/>
    <w:rsid w:val="00800134"/>
    <w:rsid w:val="008711BE"/>
    <w:rsid w:val="00876D63"/>
    <w:rsid w:val="00892FB7"/>
    <w:rsid w:val="008A0331"/>
    <w:rsid w:val="008E07CC"/>
    <w:rsid w:val="00900A07"/>
    <w:rsid w:val="009165E0"/>
    <w:rsid w:val="00916AD0"/>
    <w:rsid w:val="00985D6B"/>
    <w:rsid w:val="009B6860"/>
    <w:rsid w:val="009C6452"/>
    <w:rsid w:val="00A01343"/>
    <w:rsid w:val="00A33F2E"/>
    <w:rsid w:val="00A5624B"/>
    <w:rsid w:val="00AC4CB0"/>
    <w:rsid w:val="00B13E5A"/>
    <w:rsid w:val="00B25AC4"/>
    <w:rsid w:val="00B31D12"/>
    <w:rsid w:val="00C52417"/>
    <w:rsid w:val="00C72CDA"/>
    <w:rsid w:val="00CA6CCC"/>
    <w:rsid w:val="00CC2C6D"/>
    <w:rsid w:val="00CF70E9"/>
    <w:rsid w:val="00DE2320"/>
    <w:rsid w:val="00DE51A3"/>
    <w:rsid w:val="00E05841"/>
    <w:rsid w:val="00E07F0C"/>
    <w:rsid w:val="00E21A3B"/>
    <w:rsid w:val="00E422DA"/>
    <w:rsid w:val="00E712A5"/>
    <w:rsid w:val="00E762FF"/>
    <w:rsid w:val="00EA0BC0"/>
    <w:rsid w:val="00EF6899"/>
    <w:rsid w:val="00F42CB6"/>
    <w:rsid w:val="00F7421E"/>
    <w:rsid w:val="00FA10B7"/>
    <w:rsid w:val="00FB0BF3"/>
    <w:rsid w:val="00FD372A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738B4-8442-47BE-A406-4580A867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C524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C5241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E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3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SITA UK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lelondl</dc:creator>
  <cp:lastModifiedBy>Claire Townsend</cp:lastModifiedBy>
  <cp:revision>2</cp:revision>
  <cp:lastPrinted>2014-01-03T15:13:00Z</cp:lastPrinted>
  <dcterms:created xsi:type="dcterms:W3CDTF">2017-03-10T10:35:00Z</dcterms:created>
  <dcterms:modified xsi:type="dcterms:W3CDTF">2017-03-10T10:35:00Z</dcterms:modified>
</cp:coreProperties>
</file>